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06341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Pr>
          <w:b/>
          <w:sz w:val="22"/>
          <w:lang w:val="en-US"/>
        </w:rPr>
        <w:t>7</w:t>
      </w:r>
      <w:r>
        <w:rPr>
          <w:b/>
          <w:sz w:val="22"/>
        </w:rPr>
        <w:t>-</w:t>
      </w:r>
      <w:r>
        <w:rPr>
          <w:b/>
          <w:sz w:val="22"/>
          <w:lang w:val="en-US"/>
        </w:rPr>
        <w:t>000</w:t>
      </w:r>
      <w:r w:rsidR="00063415">
        <w:rPr>
          <w:b/>
          <w:sz w:val="22"/>
        </w:rPr>
        <w:t>….</w:t>
      </w:r>
      <w:bookmarkStart w:id="0" w:name="_GoBack"/>
      <w:bookmarkEnd w:id="0"/>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94597B" w:rsidP="001C0B2E">
            <w:pPr>
              <w:spacing w:line="312" w:lineRule="auto"/>
              <w:jc w:val="center"/>
            </w:pPr>
            <w:r w:rsidRPr="00176311">
              <w:rPr>
                <w:rFonts w:ascii="Cambria" w:hAnsi="Cambria"/>
              </w:rPr>
              <w:t>„</w:t>
            </w:r>
            <w:r w:rsidRPr="005B5FEA">
              <w:rPr>
                <w:rFonts w:ascii="Cambria" w:hAnsi="Cambria"/>
                <w:b/>
                <w:i/>
              </w:rPr>
              <w:t>Доставка на</w:t>
            </w:r>
            <w:r>
              <w:rPr>
                <w:rFonts w:ascii="Cambria" w:hAnsi="Cambria"/>
                <w:b/>
                <w:i/>
              </w:rPr>
              <w:t xml:space="preserve"> медицински изделия</w:t>
            </w:r>
            <w:r w:rsidRPr="005B5FEA">
              <w:rPr>
                <w:rFonts w:ascii="Cambria" w:hAnsi="Cambria"/>
                <w:b/>
                <w:i/>
              </w:rPr>
              <w:t xml:space="preserve"> за нуждите на </w:t>
            </w:r>
            <w:proofErr w:type="spellStart"/>
            <w:r w:rsidRPr="0050708F">
              <w:rPr>
                <w:rFonts w:ascii="Cambria" w:hAnsi="Cambria"/>
                <w:b/>
                <w:i/>
              </w:rPr>
              <w:t>катетеризационна</w:t>
            </w:r>
            <w:proofErr w:type="spellEnd"/>
            <w:r w:rsidRPr="0050708F">
              <w:rPr>
                <w:rFonts w:ascii="Cambria" w:hAnsi="Cambria"/>
                <w:b/>
                <w:i/>
              </w:rPr>
              <w:t xml:space="preserve"> лаборатория </w:t>
            </w:r>
            <w:r>
              <w:rPr>
                <w:rFonts w:ascii="Cambria" w:hAnsi="Cambria"/>
                <w:b/>
                <w:i/>
              </w:rPr>
              <w:t xml:space="preserve">в </w:t>
            </w:r>
            <w:r w:rsidRPr="005B5FEA">
              <w:rPr>
                <w:rFonts w:ascii="Cambria" w:hAnsi="Cambria"/>
                <w:b/>
                <w:i/>
              </w:rPr>
              <w:t>МБАЛ "Д-р Тота Венкова" АД - Габрово"</w:t>
            </w:r>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 xml:space="preserve">г) Регистрацията или сертифицирането обхваща ли всички задължителни критерии за </w:t>
            </w:r>
            <w:r w:rsidRPr="00D17798">
              <w:rPr>
                <w:sz w:val="22"/>
              </w:rPr>
              <w:lastRenderedPageBreak/>
              <w:t>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lastRenderedPageBreak/>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063415">
      <w:rPr>
        <w:noProof/>
      </w:rPr>
      <w:t>19</w:t>
    </w:r>
    <w:r>
      <w:fldChar w:fldCharType="end"/>
    </w:r>
    <w:r>
      <w:tab/>
    </w:r>
    <w:r w:rsidR="00063415">
      <w:fldChar w:fldCharType="begin"/>
    </w:r>
    <w:r w:rsidR="00063415">
      <w:instrText xml:space="preserve"> DOCVARIABLE "LW_Confidence" \* MERGEFORMAT </w:instrText>
    </w:r>
    <w:r w:rsidR="00063415">
      <w:fldChar w:fldCharType="separate"/>
    </w:r>
    <w:r>
      <w:t xml:space="preserve"> </w:t>
    </w:r>
    <w:r w:rsidR="00063415">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063415"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063415"/>
    <w:rsid w:val="0012726E"/>
    <w:rsid w:val="00216C88"/>
    <w:rsid w:val="0094597B"/>
    <w:rsid w:val="009A1E88"/>
    <w:rsid w:val="00B704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D342"/>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4540</Words>
  <Characters>25882</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3</cp:revision>
  <dcterms:created xsi:type="dcterms:W3CDTF">2017-01-14T09:20:00Z</dcterms:created>
  <dcterms:modified xsi:type="dcterms:W3CDTF">2017-03-13T08:43:00Z</dcterms:modified>
</cp:coreProperties>
</file>